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kern w:val="0"/>
          <w:sz w:val="36"/>
          <w:szCs w:val="36"/>
        </w:rPr>
        <w:t>遵义</w:t>
      </w:r>
      <w:r>
        <w:rPr>
          <w:rFonts w:hint="eastAsia" w:asciiTheme="minorEastAsia" w:hAnsiTheme="minorEastAsia"/>
          <w:b/>
          <w:kern w:val="0"/>
          <w:sz w:val="36"/>
          <w:szCs w:val="36"/>
          <w:lang w:val="en-US" w:eastAsia="zh-CN"/>
        </w:rPr>
        <w:t>医科大学</w:t>
      </w:r>
      <w:r>
        <w:rPr>
          <w:rFonts w:hint="eastAsia" w:asciiTheme="minorEastAsia" w:hAnsiTheme="minorEastAsia"/>
          <w:b/>
          <w:kern w:val="0"/>
          <w:sz w:val="36"/>
          <w:szCs w:val="36"/>
        </w:rPr>
        <w:t>微课教学比赛视频制作参考</w:t>
      </w:r>
      <w:bookmarkStart w:id="0" w:name="_GoBack"/>
      <w:bookmarkEnd w:id="0"/>
    </w:p>
    <w:p>
      <w:pPr>
        <w:pStyle w:val="11"/>
        <w:rPr>
          <w:rFonts w:asciiTheme="minorEastAsia" w:hAnsiTheme="minorEastAsia"/>
          <w:sz w:val="28"/>
          <w:szCs w:val="28"/>
        </w:rPr>
      </w:pP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根据全国高校微课教学比赛视频制作标准的需要，特制定比赛视频制作参考说明。主要包括视频的音视频录制、后期制作和视、音频文件压缩格式要求等基本技术规范。若采用桌面录制软件等方式进行录制，相关视频比例、采样和压缩要求参照本指导相关部分执行。本指导仅作为学校组织拍摄的技术参考，个人参赛选手可结合自身情况进行拍摄和制作。</w:t>
      </w:r>
    </w:p>
    <w:p>
      <w:pPr>
        <w:pStyle w:val="11"/>
        <w:ind w:firstLine="562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10"/>
          <w:rFonts w:hint="eastAsia" w:asciiTheme="minorEastAsia" w:hAnsiTheme="minorEastAsia"/>
          <w:b/>
          <w:bCs/>
          <w:color w:val="000000" w:themeColor="text1"/>
          <w:sz w:val="28"/>
          <w:szCs w:val="28"/>
          <w:shd w:val="clear" w:color="auto" w:fill="FFFFFF"/>
        </w:rPr>
        <w:t>一、录制要求</w:t>
      </w:r>
    </w:p>
    <w:p>
      <w:pPr>
        <w:pStyle w:val="11"/>
        <w:ind w:firstLine="422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（一）课程时长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每门课程总时长5-15分钟以内。删除与教学无关的内容。</w:t>
      </w:r>
    </w:p>
    <w:p>
      <w:pPr>
        <w:pStyle w:val="11"/>
        <w:ind w:firstLine="413" w:firstLineChars="147"/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（二）录制场地</w:t>
      </w:r>
    </w:p>
    <w:p>
      <w:pPr>
        <w:pStyle w:val="11"/>
        <w:ind w:firstLine="551" w:firstLineChars="197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录制场地可以是课堂、演播室等场地。录制现场光线充足、环境安静、整洁，避免在镜头中出现有广告嫌疑或与课程无关的标识等内容。现场是否安排学生互动可根据录制需要自行决定。</w:t>
      </w:r>
    </w:p>
    <w:p>
      <w:pPr>
        <w:pStyle w:val="11"/>
        <w:ind w:firstLine="422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（三）课程形式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成片统一采用单一视频形式。</w:t>
      </w:r>
    </w:p>
    <w:p>
      <w:pPr>
        <w:pStyle w:val="11"/>
        <w:ind w:firstLine="422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（四）录制方式及设备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１.拍摄方式：根据课程内容，可采用多机位拍摄（2机位以上），机位设置应满足完整记录全部教学活动的要求。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２.录像设备：摄像机要求不低于专业级数字设备，在同一门课程中标清和高清设备不得混用，推荐使用高清数字设备。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３.录音设备：使用若干个专业级话筒，保证教师和学生发言的录音质量。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４.后期制作设备：使用相应的非线性编辑系统。</w:t>
      </w:r>
    </w:p>
    <w:p>
      <w:pPr>
        <w:pStyle w:val="11"/>
        <w:ind w:firstLine="422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（五）多媒体课件的制作及录制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教师在录制前应对授课过程中使用的多媒体课件（PPT、音视频、动画等）认真检查，确保内容无误，排版格式规范，版面简洁清晰，符合拍摄要求。</w:t>
      </w:r>
    </w:p>
    <w:p>
      <w:pPr>
        <w:pStyle w:val="11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在拍摄时应针对实际情况选择适当的拍摄方式，与后期制作统筹策划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>，确保成片中的多媒体演示及板书完整、清晰。</w:t>
      </w:r>
    </w:p>
    <w:p>
      <w:pPr>
        <w:pStyle w:val="11"/>
        <w:numPr>
          <w:ilvl w:val="0"/>
          <w:numId w:val="1"/>
        </w:num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10"/>
          <w:rFonts w:hint="eastAsia" w:asciiTheme="minorEastAsia" w:hAnsiTheme="minorEastAsia"/>
          <w:b/>
          <w:bCs/>
          <w:color w:val="000000" w:themeColor="text1"/>
          <w:sz w:val="28"/>
          <w:szCs w:val="28"/>
          <w:shd w:val="clear" w:color="auto" w:fill="FFFFFF"/>
        </w:rPr>
        <w:t>后期制作要求</w:t>
      </w:r>
    </w:p>
    <w:p>
      <w:pPr>
        <w:pStyle w:val="11"/>
        <w:numPr>
          <w:ilvl w:val="0"/>
          <w:numId w:val="2"/>
        </w:numPr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>片</w:t>
      </w: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头</w:t>
      </w:r>
    </w:p>
    <w:p>
      <w:pPr>
        <w:pStyle w:val="11"/>
        <w:ind w:left="422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 xml:space="preserve"> 片头不超过10秒，应包括:学校名称、单位、课程名称、主讲教</w:t>
      </w:r>
    </w:p>
    <w:p>
      <w:pPr>
        <w:pStyle w:val="11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师姓名、专业技术职务等信息。</w:t>
      </w:r>
    </w:p>
    <w:p>
      <w:pPr>
        <w:pStyle w:val="11"/>
        <w:ind w:left="420" w:left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（二）技术指标</w:t>
      </w:r>
    </w:p>
    <w:p>
      <w:pPr>
        <w:pStyle w:val="11"/>
        <w:ind w:left="420" w:leftChars="200" w:firstLine="140" w:firstLineChars="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1.视频信号源</w:t>
      </w:r>
    </w:p>
    <w:p>
      <w:pPr>
        <w:pStyle w:val="11"/>
        <w:ind w:left="420" w:left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（1）稳定性：全片图像同步性能稳定，无失步现象，CTL同步控制信号必须连续：图像无抖动跳跃，色彩无突变，编辑点处图像稳定。（2）信噪比：图像信噪比不低于55dB，无明显杂波。</w:t>
      </w:r>
    </w:p>
    <w:p>
      <w:pPr>
        <w:pStyle w:val="11"/>
        <w:ind w:left="420" w:left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（3）色调：白平衡正确，无明显偏色，多机拍摄的镜头衔接处无明显色差。</w:t>
      </w:r>
    </w:p>
    <w:p>
      <w:pPr>
        <w:pStyle w:val="11"/>
        <w:ind w:left="420" w:left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（4）视频电平：视频全讯号幅度为1Ⅴp-p，最大不超过1.1Ⅴp-p。其中，消隐电平为0V时，白电平幅度0.7Ⅴp-p，同步信号-0.3V，色同步信号幅度0.3Vp-p(以消隐线上下对称)，全片一致。</w:t>
      </w:r>
    </w:p>
    <w:p>
      <w:pPr>
        <w:pStyle w:val="11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 xml:space="preserve">     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2.音频信号源</w:t>
      </w:r>
    </w:p>
    <w:p>
      <w:pPr>
        <w:pStyle w:val="11"/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（1）声道：中文内容音频信号记录于第1声道，音乐、音效、同期声记录于第2声道，若有其他文字解说记录于第3声道（如录音设备无第3声道,则录于第2声道）。</w:t>
      </w:r>
    </w:p>
    <w:p>
      <w:pPr>
        <w:pStyle w:val="11"/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（2）电平指标：-2db—-8db声音应无明显失真、放音过冲、过弱。</w:t>
      </w:r>
    </w:p>
    <w:p>
      <w:pPr>
        <w:pStyle w:val="11"/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（3）音频信噪比不低于48db。</w:t>
      </w:r>
    </w:p>
    <w:p>
      <w:pPr>
        <w:pStyle w:val="11"/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（4）声音和画面要求同步，无交流声或其他杂音等缺陷。</w:t>
      </w:r>
    </w:p>
    <w:p>
      <w:pPr>
        <w:pStyle w:val="11"/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（5）伴音清晰、饱满、圆润，无失真、噪声杂音干扰、音量忽大忽小现象。解说声与现场声无明显比例失调，解说声与背景音乐无明显比例失调。</w:t>
      </w:r>
    </w:p>
    <w:p>
      <w:pPr>
        <w:pStyle w:val="11"/>
        <w:ind w:firstLine="562" w:firstLineChars="20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10"/>
          <w:rFonts w:hint="eastAsia" w:asciiTheme="minorEastAsia" w:hAnsiTheme="minorEastAsia"/>
          <w:b/>
          <w:bCs/>
          <w:color w:val="000000" w:themeColor="text1"/>
          <w:sz w:val="28"/>
          <w:szCs w:val="28"/>
          <w:shd w:val="clear" w:color="auto" w:fill="FFFFFF"/>
        </w:rPr>
        <w:t>三、视、音频文件压缩格式要求</w:t>
      </w:r>
    </w:p>
    <w:p>
      <w:pPr>
        <w:pStyle w:val="11"/>
        <w:ind w:left="420" w:leftChars="200" w:firstLine="1"/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（一）视频压缩格式及技术参数</w:t>
      </w:r>
    </w:p>
    <w:p>
      <w:pPr>
        <w:pStyle w:val="11"/>
        <w:ind w:left="420" w:leftChars="200" w:firstLine="140" w:firstLineChars="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1.视频压缩采用H.264格式编码。</w:t>
      </w:r>
    </w:p>
    <w:p>
      <w:pPr>
        <w:pStyle w:val="11"/>
        <w:ind w:left="420" w:leftChars="200" w:firstLine="140" w:firstLineChars="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2.视频码流率：动态码流的最高码率不高于2000Kbps，最低码率不得低于1024Kbps。</w:t>
      </w:r>
    </w:p>
    <w:p>
      <w:pPr>
        <w:pStyle w:val="11"/>
        <w:ind w:left="420" w:leftChars="200" w:firstLine="140" w:firstLineChars="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3.视频分辨率：</w:t>
      </w:r>
    </w:p>
    <w:p>
      <w:pPr>
        <w:pStyle w:val="11"/>
        <w:ind w:left="567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（1）前期采用标清4:3拍摄，请设定为640×480；前期采用标清16:9拍摄，请设定为1280×720；</w:t>
      </w:r>
    </w:p>
    <w:p>
      <w:pPr>
        <w:pStyle w:val="11"/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（2）在同一课程中，各讲的视频分辨率应统一，不得标清和高清混用。</w:t>
      </w:r>
    </w:p>
    <w:p>
      <w:pPr>
        <w:pStyle w:val="11"/>
        <w:ind w:firstLine="420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 xml:space="preserve">  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4.视频画幅宽高比：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（1）分辨率设定为640×480，请选定4:3；分辨率设定为1280×720，请选定16:9；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（2）在同一课程中，各讲应统一画幅的宽高比，不得混用。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（3）比赛支持两种比例视频上传，请在“视频介绍”中进行展示比例设置。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5.视频帧率为25帧/秒。</w:t>
      </w:r>
    </w:p>
    <w:p>
      <w:pPr>
        <w:pStyle w:val="11"/>
        <w:ind w:firstLine="700" w:firstLineChars="25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6.扫描方式采用逐行扫描。</w:t>
      </w:r>
    </w:p>
    <w:p>
      <w:pPr>
        <w:pStyle w:val="11"/>
        <w:ind w:firstLine="422" w:firstLineChars="150"/>
        <w:rPr>
          <w:rFonts w:asciiTheme="minorEastAsia" w:hAnsiTheme="minorEastAsia"/>
          <w:color w:val="000000"/>
          <w:sz w:val="28"/>
          <w:szCs w:val="28"/>
        </w:rPr>
      </w:pPr>
      <w:r>
        <w:rPr>
          <w:rStyle w:val="8"/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（二）音频压缩格式及技术参数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1．音频压缩采用H.264格式编码。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2．采样率48KHz。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3．音频码流率128Kbps(恒定)。</w:t>
      </w:r>
    </w:p>
    <w:p>
      <w:pPr>
        <w:pStyle w:val="11"/>
        <w:ind w:firstLine="560" w:firstLineChars="2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4．必须是双声道，必须做混音处理。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705F"/>
    <w:multiLevelType w:val="multilevel"/>
    <w:tmpl w:val="3246705F"/>
    <w:lvl w:ilvl="0" w:tentative="0">
      <w:start w:val="2"/>
      <w:numFmt w:val="japaneseCounting"/>
      <w:lvlText w:val="%1、"/>
      <w:lvlJc w:val="left"/>
      <w:pPr>
        <w:ind w:left="1404" w:hanging="720"/>
      </w:pPr>
      <w:rPr>
        <w:rFonts w:hint="default"/>
        <w:b/>
        <w:color w:val="CC0000"/>
      </w:rPr>
    </w:lvl>
    <w:lvl w:ilvl="1" w:tentative="0">
      <w:start w:val="1"/>
      <w:numFmt w:val="lowerLetter"/>
      <w:lvlText w:val="%2)"/>
      <w:lvlJc w:val="left"/>
      <w:pPr>
        <w:ind w:left="1524" w:hanging="420"/>
      </w:pPr>
    </w:lvl>
    <w:lvl w:ilvl="2" w:tentative="0">
      <w:start w:val="1"/>
      <w:numFmt w:val="lowerRoman"/>
      <w:lvlText w:val="%3."/>
      <w:lvlJc w:val="right"/>
      <w:pPr>
        <w:ind w:left="1944" w:hanging="420"/>
      </w:pPr>
    </w:lvl>
    <w:lvl w:ilvl="3" w:tentative="0">
      <w:start w:val="1"/>
      <w:numFmt w:val="decimal"/>
      <w:lvlText w:val="%4."/>
      <w:lvlJc w:val="left"/>
      <w:pPr>
        <w:ind w:left="2364" w:hanging="420"/>
      </w:pPr>
    </w:lvl>
    <w:lvl w:ilvl="4" w:tentative="0">
      <w:start w:val="1"/>
      <w:numFmt w:val="lowerLetter"/>
      <w:lvlText w:val="%5)"/>
      <w:lvlJc w:val="left"/>
      <w:pPr>
        <w:ind w:left="2784" w:hanging="420"/>
      </w:pPr>
    </w:lvl>
    <w:lvl w:ilvl="5" w:tentative="0">
      <w:start w:val="1"/>
      <w:numFmt w:val="lowerRoman"/>
      <w:lvlText w:val="%6."/>
      <w:lvlJc w:val="right"/>
      <w:pPr>
        <w:ind w:left="3204" w:hanging="420"/>
      </w:pPr>
    </w:lvl>
    <w:lvl w:ilvl="6" w:tentative="0">
      <w:start w:val="1"/>
      <w:numFmt w:val="decimal"/>
      <w:lvlText w:val="%7."/>
      <w:lvlJc w:val="left"/>
      <w:pPr>
        <w:ind w:left="3624" w:hanging="420"/>
      </w:pPr>
    </w:lvl>
    <w:lvl w:ilvl="7" w:tentative="0">
      <w:start w:val="1"/>
      <w:numFmt w:val="lowerLetter"/>
      <w:lvlText w:val="%8)"/>
      <w:lvlJc w:val="left"/>
      <w:pPr>
        <w:ind w:left="4044" w:hanging="420"/>
      </w:pPr>
    </w:lvl>
    <w:lvl w:ilvl="8" w:tentative="0">
      <w:start w:val="1"/>
      <w:numFmt w:val="lowerRoman"/>
      <w:lvlText w:val="%9."/>
      <w:lvlJc w:val="right"/>
      <w:pPr>
        <w:ind w:left="4464" w:hanging="420"/>
      </w:pPr>
    </w:lvl>
  </w:abstractNum>
  <w:abstractNum w:abstractNumId="1">
    <w:nsid w:val="39E43133"/>
    <w:multiLevelType w:val="multilevel"/>
    <w:tmpl w:val="39E43133"/>
    <w:lvl w:ilvl="0" w:tentative="0">
      <w:start w:val="1"/>
      <w:numFmt w:val="japaneseCounting"/>
      <w:lvlText w:val="（%1）"/>
      <w:lvlJc w:val="left"/>
      <w:pPr>
        <w:ind w:left="1286" w:hanging="864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082"/>
    <w:rsid w:val="000017AC"/>
    <w:rsid w:val="001C31F5"/>
    <w:rsid w:val="005D4DF4"/>
    <w:rsid w:val="006756F4"/>
    <w:rsid w:val="00705ED9"/>
    <w:rsid w:val="007F6020"/>
    <w:rsid w:val="00840B9C"/>
    <w:rsid w:val="00AF3F27"/>
    <w:rsid w:val="00B037C9"/>
    <w:rsid w:val="00B108D1"/>
    <w:rsid w:val="00B96082"/>
    <w:rsid w:val="00BD2BBA"/>
    <w:rsid w:val="00C1550B"/>
    <w:rsid w:val="00D159B9"/>
    <w:rsid w:val="00E34326"/>
    <w:rsid w:val="00FE4F09"/>
    <w:rsid w:val="468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bigredtitle"/>
    <w:basedOn w:val="7"/>
    <w:uiPriority w:val="0"/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Char"/>
    <w:basedOn w:val="7"/>
    <w:link w:val="5"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238</Words>
  <Characters>1362</Characters>
  <Lines>11</Lines>
  <Paragraphs>3</Paragraphs>
  <TotalTime>14</TotalTime>
  <ScaleCrop>false</ScaleCrop>
  <LinksUpToDate>false</LinksUpToDate>
  <CharactersWithSpaces>1597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2017-06-06T01:06:00Z</dcterms:created>
  <dc:creator>user</dc:creator>
  <cp:lastModifiedBy>第二天堂</cp:lastModifiedBy>
  <dcterms:modified xsi:type="dcterms:W3CDTF">2020-08-24T01:52:30Z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